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BB" w:rsidRPr="00C06A28" w:rsidRDefault="006969C7" w:rsidP="00AB607C">
      <w:pPr>
        <w:ind w:right="-360"/>
        <w:jc w:val="center"/>
        <w:rPr>
          <w:b/>
          <w:sz w:val="48"/>
          <w:szCs w:val="48"/>
        </w:rPr>
      </w:pPr>
      <w:bookmarkStart w:id="0" w:name="_GoBack"/>
      <w:bookmarkEnd w:id="0"/>
      <w:r>
        <w:rPr>
          <w:b/>
          <w:sz w:val="48"/>
          <w:szCs w:val="48"/>
        </w:rPr>
        <w:t>Increase the</w:t>
      </w:r>
      <w:r w:rsidR="00FA37BB" w:rsidRPr="00C06A28">
        <w:rPr>
          <w:b/>
          <w:sz w:val="48"/>
          <w:szCs w:val="48"/>
        </w:rPr>
        <w:t xml:space="preserve"> E-Rate</w:t>
      </w:r>
      <w:r w:rsidR="00234D22">
        <w:rPr>
          <w:b/>
          <w:sz w:val="48"/>
          <w:szCs w:val="48"/>
        </w:rPr>
        <w:t>’s Annual Cap</w:t>
      </w:r>
    </w:p>
    <w:p w:rsidR="00FA37BB" w:rsidRDefault="00FA37BB" w:rsidP="005144A9">
      <w:pPr>
        <w:ind w:left="-360" w:right="-360"/>
        <w:rPr>
          <w:b/>
        </w:rPr>
      </w:pPr>
    </w:p>
    <w:p w:rsidR="003A2EFA" w:rsidRPr="008F145E" w:rsidRDefault="003A2EFA" w:rsidP="003A2EFA">
      <w:pPr>
        <w:tabs>
          <w:tab w:val="left" w:pos="4320"/>
        </w:tabs>
        <w:ind w:left="-360" w:right="-360"/>
      </w:pPr>
      <w:r w:rsidRPr="00234D22">
        <w:rPr>
          <w:b/>
          <w:sz w:val="28"/>
          <w:szCs w:val="28"/>
        </w:rPr>
        <w:t>Message</w:t>
      </w:r>
    </w:p>
    <w:p w:rsidR="003A2EFA" w:rsidRDefault="003A2EFA" w:rsidP="003A2EFA">
      <w:pPr>
        <w:tabs>
          <w:tab w:val="left" w:pos="4320"/>
        </w:tabs>
        <w:ind w:left="-360" w:right="-360"/>
        <w:rPr>
          <w:b/>
        </w:rPr>
      </w:pPr>
    </w:p>
    <w:p w:rsidR="00530371" w:rsidRDefault="003A2EFA" w:rsidP="003A2EFA">
      <w:pPr>
        <w:tabs>
          <w:tab w:val="left" w:pos="4320"/>
        </w:tabs>
        <w:ind w:left="-360" w:right="-360"/>
      </w:pPr>
      <w:r>
        <w:rPr>
          <w:b/>
        </w:rPr>
        <w:t xml:space="preserve">Raise the E-Rate’s annual cap to </w:t>
      </w:r>
      <w:r w:rsidR="00530371" w:rsidRPr="00530371">
        <w:rPr>
          <w:b/>
        </w:rPr>
        <w:t>ensure that schools and libraries are able to provide a technological infrastructure sufficient to preparing all students for college and careers.</w:t>
      </w:r>
    </w:p>
    <w:p w:rsidR="003A2EFA" w:rsidRDefault="00530371" w:rsidP="003A2EFA">
      <w:pPr>
        <w:tabs>
          <w:tab w:val="left" w:pos="4320"/>
        </w:tabs>
        <w:ind w:left="-360" w:right="-360"/>
        <w:rPr>
          <w:b/>
        </w:rPr>
      </w:pPr>
      <w:r>
        <w:rPr>
          <w:b/>
        </w:rPr>
        <w:t xml:space="preserve"> </w:t>
      </w:r>
    </w:p>
    <w:p w:rsidR="00C06A28" w:rsidRPr="00234D22" w:rsidRDefault="005144A9" w:rsidP="005144A9">
      <w:pPr>
        <w:ind w:left="-360" w:right="-360"/>
        <w:rPr>
          <w:b/>
          <w:sz w:val="28"/>
          <w:szCs w:val="28"/>
        </w:rPr>
      </w:pPr>
      <w:r w:rsidRPr="00234D22">
        <w:rPr>
          <w:b/>
          <w:sz w:val="28"/>
          <w:szCs w:val="28"/>
        </w:rPr>
        <w:t>Background</w:t>
      </w:r>
    </w:p>
    <w:p w:rsidR="00C06A28" w:rsidRDefault="00C06A28" w:rsidP="005144A9">
      <w:pPr>
        <w:ind w:left="-360" w:right="-360"/>
        <w:rPr>
          <w:b/>
        </w:rPr>
      </w:pPr>
    </w:p>
    <w:p w:rsidR="005144A9" w:rsidRDefault="002C00A6" w:rsidP="005144A9">
      <w:pPr>
        <w:ind w:left="-360" w:right="-360"/>
      </w:pPr>
      <w:r>
        <w:t xml:space="preserve">The E-Rate is </w:t>
      </w:r>
      <w:r w:rsidR="005144A9">
        <w:t xml:space="preserve">part of </w:t>
      </w:r>
      <w:r w:rsidR="006969C7">
        <w:t xml:space="preserve">the federal </w:t>
      </w:r>
      <w:r w:rsidR="005144A9">
        <w:t>universal service</w:t>
      </w:r>
      <w:r w:rsidR="006969C7">
        <w:t xml:space="preserve"> program</w:t>
      </w:r>
      <w:r w:rsidR="005144A9">
        <w:t>, a support mechanism that was created in 1934 to ensure that rural consumers had affordable phon</w:t>
      </w:r>
      <w:r>
        <w:t>e service. A</w:t>
      </w:r>
      <w:r w:rsidR="005144A9">
        <w:t xml:space="preserve">uthorized under the Telecommunications Act of 1996, </w:t>
      </w:r>
      <w:r>
        <w:t>E-Rate is</w:t>
      </w:r>
      <w:r w:rsidR="005144A9">
        <w:t xml:space="preserve"> an extension of universal </w:t>
      </w:r>
      <w:r w:rsidR="006969C7">
        <w:t xml:space="preserve">service. It provides public and </w:t>
      </w:r>
      <w:r w:rsidR="005144A9">
        <w:t xml:space="preserve">private schools and libraries with discounts of 20%-90% </w:t>
      </w:r>
      <w:r>
        <w:t xml:space="preserve">(with discounts based on poverty measures) </w:t>
      </w:r>
      <w:r w:rsidR="005144A9">
        <w:t>for telecommunications services and Internet access (i.e., Priority I Services) and internal connec</w:t>
      </w:r>
      <w:r>
        <w:t>tions</w:t>
      </w:r>
      <w:r w:rsidR="005144A9">
        <w:t xml:space="preserve"> (i.e., Priority II Services).  The program funds all Priority I service requests first and then expends remaining funds on Priority II requests, with those applications prioritized based on need. E-Rate funds are not appropriated, but are </w:t>
      </w:r>
      <w:r>
        <w:t xml:space="preserve">fees </w:t>
      </w:r>
      <w:r w:rsidR="005144A9">
        <w:t xml:space="preserve">collected (along with other universal service programs) </w:t>
      </w:r>
      <w:r w:rsidR="006969C7">
        <w:t xml:space="preserve">from </w:t>
      </w:r>
      <w:r>
        <w:t xml:space="preserve">consumer </w:t>
      </w:r>
      <w:r w:rsidR="005144A9">
        <w:t xml:space="preserve">phone bills. </w:t>
      </w:r>
    </w:p>
    <w:p w:rsidR="005144A9" w:rsidRDefault="005144A9" w:rsidP="005144A9">
      <w:pPr>
        <w:ind w:left="-360" w:right="-360"/>
      </w:pPr>
    </w:p>
    <w:p w:rsidR="005144A9" w:rsidRPr="00B40FB5" w:rsidRDefault="005144A9" w:rsidP="005144A9">
      <w:pPr>
        <w:ind w:left="-360" w:right="-360"/>
      </w:pPr>
      <w:r w:rsidRPr="00B40FB5">
        <w:t xml:space="preserve">Since its </w:t>
      </w:r>
      <w:r w:rsidR="003A2EFA">
        <w:t>implementation</w:t>
      </w:r>
      <w:r w:rsidRPr="00B40FB5">
        <w:t xml:space="preserve"> in 1998, E-Rate has played a major role in increasing public school classroom Internet connections from 14% in 1998 to </w:t>
      </w:r>
      <w:r w:rsidR="003A2EFA">
        <w:t>nearly 100% today</w:t>
      </w:r>
      <w:r w:rsidRPr="00B40FB5">
        <w:t>. The E-Rate has also helped low-income, minority and rural students gain near equal access in their classrooms to their peers around the country.  Despite these impressive figures, E-Rate’s mission is incomplete</w:t>
      </w:r>
      <w:r w:rsidR="00B40FB5" w:rsidRPr="00B40FB5">
        <w:t>.</w:t>
      </w:r>
      <w:r w:rsidR="002B7CAF" w:rsidRPr="00B40FB5">
        <w:t xml:space="preserve"> </w:t>
      </w:r>
      <w:r w:rsidR="00B40FB5" w:rsidRPr="00B40FB5">
        <w:t>S</w:t>
      </w:r>
      <w:r w:rsidR="002B7CAF" w:rsidRPr="00B40FB5">
        <w:t>chool bandwidth needs are continuing to skyrocket</w:t>
      </w:r>
      <w:r w:rsidR="00B40FB5" w:rsidRPr="00B40FB5">
        <w:t xml:space="preserve"> as educators</w:t>
      </w:r>
      <w:r w:rsidR="002B7CAF" w:rsidRPr="00B40FB5">
        <w:t xml:space="preserve"> incorporat</w:t>
      </w:r>
      <w:r w:rsidR="00B40FB5" w:rsidRPr="00B40FB5">
        <w:t>e</w:t>
      </w:r>
      <w:r w:rsidR="002B7CAF" w:rsidRPr="00B40FB5">
        <w:t xml:space="preserve"> </w:t>
      </w:r>
      <w:r w:rsidR="00B40FB5">
        <w:t xml:space="preserve">into classrooms </w:t>
      </w:r>
      <w:r w:rsidR="002B7CAF" w:rsidRPr="00B40FB5">
        <w:t xml:space="preserve">cutting-edge digital </w:t>
      </w:r>
      <w:r w:rsidR="00610787" w:rsidRPr="00B40FB5">
        <w:t>tools</w:t>
      </w:r>
      <w:r w:rsidR="00DE5BD6" w:rsidRPr="00B40FB5">
        <w:t xml:space="preserve"> and devices</w:t>
      </w:r>
      <w:r w:rsidR="00610787" w:rsidRPr="00B40FB5">
        <w:t>, online content and videos, blended learning models and more to further personalize the learning experience</w:t>
      </w:r>
      <w:r w:rsidR="00B40FB5">
        <w:t xml:space="preserve">. </w:t>
      </w:r>
      <w:r w:rsidR="00610787" w:rsidRPr="00B40FB5">
        <w:t>Moreover, schools are</w:t>
      </w:r>
      <w:r w:rsidR="00DE5BD6" w:rsidRPr="00B40FB5">
        <w:t xml:space="preserve"> moving towards </w:t>
      </w:r>
      <w:r w:rsidR="00B40FB5" w:rsidRPr="00B40FB5">
        <w:t xml:space="preserve">intensive </w:t>
      </w:r>
      <w:r w:rsidR="00DE5BD6" w:rsidRPr="00B40FB5">
        <w:t>online and adaptive assessments which</w:t>
      </w:r>
      <w:r w:rsidR="00B40FB5">
        <w:t>,</w:t>
      </w:r>
      <w:r w:rsidR="00DE5BD6" w:rsidRPr="00B40FB5">
        <w:t xml:space="preserve"> </w:t>
      </w:r>
      <w:r w:rsidR="00B40FB5">
        <w:t>while allowing</w:t>
      </w:r>
      <w:r w:rsidR="00DE5BD6" w:rsidRPr="00B40FB5">
        <w:t xml:space="preserve"> teachers to customize instruction</w:t>
      </w:r>
      <w:r w:rsidR="00610787" w:rsidRPr="00B40FB5">
        <w:t xml:space="preserve"> and ensure that all students graduate high school college-and-career ready</w:t>
      </w:r>
      <w:r w:rsidR="00B40FB5">
        <w:t>, are bandwidth intensive</w:t>
      </w:r>
      <w:r w:rsidR="00610787" w:rsidRPr="00B40FB5">
        <w:t xml:space="preserve">. </w:t>
      </w:r>
      <w:r w:rsidR="00FA5B6F" w:rsidRPr="00B40FB5">
        <w:t xml:space="preserve"> </w:t>
      </w:r>
      <w:r w:rsidR="006969C7">
        <w:t xml:space="preserve">According to Education </w:t>
      </w:r>
      <w:proofErr w:type="spellStart"/>
      <w:r w:rsidR="006969C7">
        <w:t>SuperH</w:t>
      </w:r>
      <w:r w:rsidR="00B40FB5" w:rsidRPr="00B40FB5">
        <w:t>ighway’s</w:t>
      </w:r>
      <w:proofErr w:type="spellEnd"/>
      <w:r w:rsidR="00B40FB5" w:rsidRPr="00B40FB5">
        <w:t xml:space="preserve"> National School Speed Test, </w:t>
      </w:r>
      <w:r w:rsidR="00B40FB5" w:rsidRPr="00B40FB5">
        <w:rPr>
          <w:color w:val="000000"/>
        </w:rPr>
        <w:t>only 13% of schools meet the State Educational Technology Directors Association</w:t>
      </w:r>
      <w:r w:rsidR="008F145E">
        <w:rPr>
          <w:color w:val="000000"/>
        </w:rPr>
        <w:t>’s</w:t>
      </w:r>
      <w:r w:rsidR="00B40FB5" w:rsidRPr="00B40FB5">
        <w:rPr>
          <w:color w:val="000000"/>
        </w:rPr>
        <w:t xml:space="preserve"> recommended standard of 100mbps per 100</w:t>
      </w:r>
      <w:r w:rsidR="00B40FB5">
        <w:rPr>
          <w:color w:val="000000"/>
        </w:rPr>
        <w:t>0</w:t>
      </w:r>
      <w:r w:rsidR="00B40FB5" w:rsidRPr="00B40FB5">
        <w:rPr>
          <w:color w:val="000000"/>
        </w:rPr>
        <w:t xml:space="preserve"> students for digital learning. </w:t>
      </w:r>
      <w:r w:rsidR="00B40FB5" w:rsidRPr="00B40FB5">
        <w:t xml:space="preserve">This </w:t>
      </w:r>
      <w:r w:rsidR="008F145E">
        <w:t xml:space="preserve">data </w:t>
      </w:r>
      <w:r w:rsidR="00B40FB5" w:rsidRPr="00B40FB5">
        <w:t xml:space="preserve">tracks with a </w:t>
      </w:r>
      <w:r w:rsidRPr="00B40FB5">
        <w:t>2010 FCC survey</w:t>
      </w:r>
      <w:r w:rsidR="00B40FB5" w:rsidRPr="00B40FB5">
        <w:t xml:space="preserve"> in which</w:t>
      </w:r>
      <w:r w:rsidR="008F145E">
        <w:t xml:space="preserve"> </w:t>
      </w:r>
      <w:r w:rsidRPr="00B40FB5">
        <w:t xml:space="preserve">80% of E-Rate participants indicated that their broadband connections do not fully meet their needs. </w:t>
      </w:r>
    </w:p>
    <w:p w:rsidR="005144A9" w:rsidRDefault="005144A9" w:rsidP="005144A9">
      <w:pPr>
        <w:ind w:left="-360" w:right="-360"/>
      </w:pPr>
    </w:p>
    <w:p w:rsidR="00234D22" w:rsidRDefault="00C06A28" w:rsidP="00234D22">
      <w:pPr>
        <w:tabs>
          <w:tab w:val="left" w:pos="4320"/>
        </w:tabs>
        <w:ind w:left="-360" w:right="-360"/>
      </w:pPr>
      <w:r>
        <w:t>The E-Rate remains desperately underfunded</w:t>
      </w:r>
      <w:r w:rsidR="008F145E">
        <w:t xml:space="preserve"> to meet school broadband needs</w:t>
      </w:r>
      <w:r>
        <w:t xml:space="preserve">, with demand outstripping available current funding by a factor of 2 to 1. </w:t>
      </w:r>
      <w:r w:rsidR="00234D22">
        <w:t xml:space="preserve">The E-Rate’s $2.25 billion annual cap, established in 1998 and based on a now outmoded 15 year old cost estimate, has not increased appreciably since that time. An annual cap adjustment, based on inflation, that the Commission approved in 2010 has only added a fraction of the support necessary to meet surging demand.  </w:t>
      </w:r>
    </w:p>
    <w:p w:rsidR="00234D22" w:rsidRDefault="00234D22" w:rsidP="00234D22">
      <w:pPr>
        <w:tabs>
          <w:tab w:val="left" w:pos="4320"/>
        </w:tabs>
        <w:ind w:left="-360" w:right="-360"/>
      </w:pPr>
    </w:p>
    <w:p w:rsidR="003A2EFA" w:rsidRDefault="008F145E" w:rsidP="003A2EFA">
      <w:pPr>
        <w:tabs>
          <w:tab w:val="left" w:pos="4320"/>
        </w:tabs>
        <w:ind w:left="-360" w:right="-360"/>
      </w:pPr>
      <w:r>
        <w:t>As a result of E-Rate’s funding shortfall, s</w:t>
      </w:r>
      <w:r w:rsidR="00234D22">
        <w:t xml:space="preserve">chool and library broadband needs are going unmet. In 2012, for example, applicants applied for more than $5.2 billion. Even after the FCC rolled over more than $1 </w:t>
      </w:r>
      <w:r w:rsidR="00234D22">
        <w:lastRenderedPageBreak/>
        <w:t xml:space="preserve">billion of reserved funds, approximately $2 billion of that demand remained unfulfilled. For Priority II in 2012, only 90% eligible applicants received support. With telecommunications/Internet access demand continuing to grow under the current cap and dwindling reserve dollars available, E-Rate may soon be unable to fund fully any internal connections support requests.  </w:t>
      </w:r>
    </w:p>
    <w:p w:rsidR="003A2EFA" w:rsidRDefault="003A2EFA" w:rsidP="003A2EFA">
      <w:pPr>
        <w:tabs>
          <w:tab w:val="left" w:pos="4320"/>
        </w:tabs>
        <w:ind w:left="-360" w:right="-360"/>
      </w:pPr>
    </w:p>
    <w:p w:rsidR="00C52386" w:rsidRPr="003A2EFA" w:rsidRDefault="00C06A28" w:rsidP="003A2EFA">
      <w:pPr>
        <w:tabs>
          <w:tab w:val="left" w:pos="4320"/>
        </w:tabs>
        <w:ind w:left="-360" w:right="-360"/>
      </w:pPr>
      <w:r w:rsidRPr="002E66DE">
        <w:rPr>
          <w:b/>
          <w:sz w:val="28"/>
          <w:szCs w:val="28"/>
        </w:rPr>
        <w:t xml:space="preserve">E-Rate Commitments to </w:t>
      </w:r>
      <w:r w:rsidR="00CE751F">
        <w:rPr>
          <w:b/>
          <w:sz w:val="28"/>
          <w:szCs w:val="28"/>
        </w:rPr>
        <w:t>New Hampshire</w:t>
      </w:r>
      <w:r w:rsidRPr="002E66DE">
        <w:rPr>
          <w:b/>
          <w:sz w:val="28"/>
          <w:szCs w:val="28"/>
        </w:rPr>
        <w:t xml:space="preserve"> </w:t>
      </w:r>
    </w:p>
    <w:p w:rsidR="00C52386" w:rsidRDefault="00C52386" w:rsidP="00C52386">
      <w:pPr>
        <w:tabs>
          <w:tab w:val="left" w:pos="4320"/>
        </w:tabs>
        <w:ind w:left="-360" w:right="-360"/>
      </w:pPr>
    </w:p>
    <w:p w:rsidR="00C52386" w:rsidRDefault="00D75E53" w:rsidP="00C52386">
      <w:pPr>
        <w:tabs>
          <w:tab w:val="left" w:pos="4320"/>
        </w:tabs>
        <w:ind w:left="-360" w:right="-360"/>
      </w:pPr>
      <w:r>
        <w:t>Over the course of E-Rate’s</w:t>
      </w:r>
      <w:r w:rsidR="00FA37BB">
        <w:t xml:space="preserve"> existence, the state of </w:t>
      </w:r>
      <w:r w:rsidR="00CE751F">
        <w:t>New Hampshire</w:t>
      </w:r>
      <w:r w:rsidR="00FA37BB">
        <w:t xml:space="preserve"> has received </w:t>
      </w:r>
      <w:r w:rsidR="00167482">
        <w:t>E-Rate commitments of around $</w:t>
      </w:r>
      <w:r w:rsidR="00CE751F">
        <w:t>34</w:t>
      </w:r>
      <w:r w:rsidR="00D0498B">
        <w:t xml:space="preserve"> m</w:t>
      </w:r>
      <w:r w:rsidR="00045D43">
        <w:t xml:space="preserve">illion. Over the past </w:t>
      </w:r>
      <w:r w:rsidR="006969C7">
        <w:t>six</w:t>
      </w:r>
      <w:r w:rsidR="00045D43">
        <w:t xml:space="preserve"> </w:t>
      </w:r>
      <w:r w:rsidR="00FA37BB">
        <w:t xml:space="preserve">years, </w:t>
      </w:r>
      <w:r w:rsidR="00CE751F">
        <w:t>New Hampshire</w:t>
      </w:r>
      <w:r w:rsidR="006969C7">
        <w:t xml:space="preserve"> has received</w:t>
      </w:r>
      <w:r w:rsidR="00FA37BB">
        <w:t xml:space="preserve"> o</w:t>
      </w:r>
      <w:r w:rsidR="00ED161D">
        <w:t>n average $</w:t>
      </w:r>
      <w:r w:rsidR="00CE751F">
        <w:t>3</w:t>
      </w:r>
      <w:r w:rsidR="00045D43">
        <w:t xml:space="preserve"> </w:t>
      </w:r>
      <w:r w:rsidR="00FA37BB">
        <w:t>million</w:t>
      </w:r>
      <w:r w:rsidR="006969C7">
        <w:t xml:space="preserve"> from the E-Rate program, which helps provide a modern education for all of the state’s students</w:t>
      </w:r>
      <w:r w:rsidR="00FA37BB">
        <w:t>.</w:t>
      </w:r>
    </w:p>
    <w:p w:rsidR="00FA37BB" w:rsidRDefault="00C06A28" w:rsidP="00C06A28">
      <w:pPr>
        <w:tabs>
          <w:tab w:val="left" w:pos="8595"/>
        </w:tabs>
        <w:ind w:left="-360" w:right="-360"/>
      </w:pPr>
      <w:r>
        <w:tab/>
      </w:r>
    </w:p>
    <w:p w:rsidR="00D00418" w:rsidRDefault="00D00418" w:rsidP="00D00418">
      <w:pPr>
        <w:tabs>
          <w:tab w:val="left" w:pos="4320"/>
        </w:tabs>
        <w:ind w:left="-360" w:right="-360"/>
      </w:pPr>
      <w:r>
        <w:t>Here is an annual breakdown as of 4/2/13:</w:t>
      </w:r>
    </w:p>
    <w:p w:rsidR="00CE751F" w:rsidRDefault="00CE751F" w:rsidP="00D00418">
      <w:pPr>
        <w:tabs>
          <w:tab w:val="left" w:pos="4320"/>
        </w:tabs>
        <w:ind w:left="-360" w:right="-360"/>
      </w:pPr>
    </w:p>
    <w:p w:rsidR="00CE751F" w:rsidRDefault="00CE751F" w:rsidP="00CE751F">
      <w:pPr>
        <w:tabs>
          <w:tab w:val="left" w:pos="4320"/>
        </w:tabs>
        <w:ind w:left="-360" w:right="-360"/>
      </w:pPr>
      <w:r>
        <w:t>1998 -- $1.6 M</w:t>
      </w:r>
      <w:r>
        <w:tab/>
      </w:r>
      <w:r>
        <w:tab/>
        <w:t>2007 -- $2.4 M</w:t>
      </w:r>
    </w:p>
    <w:p w:rsidR="00CE751F" w:rsidRDefault="00CE751F" w:rsidP="00CE751F">
      <w:pPr>
        <w:tabs>
          <w:tab w:val="left" w:pos="4320"/>
        </w:tabs>
        <w:ind w:left="-360" w:right="-360"/>
      </w:pPr>
      <w:r>
        <w:t>1999 -- $1.4 M</w:t>
      </w:r>
      <w:r>
        <w:tab/>
      </w:r>
      <w:r>
        <w:tab/>
        <w:t>2008 -- $2.8 M</w:t>
      </w:r>
    </w:p>
    <w:p w:rsidR="00CE751F" w:rsidRDefault="00CE751F" w:rsidP="00CE751F">
      <w:pPr>
        <w:tabs>
          <w:tab w:val="left" w:pos="4320"/>
        </w:tabs>
        <w:ind w:left="-360" w:right="-360"/>
      </w:pPr>
      <w:r>
        <w:t>2000 -- $1.3 M</w:t>
      </w:r>
      <w:r>
        <w:tab/>
      </w:r>
      <w:r>
        <w:tab/>
        <w:t>2009 -- $2.9 M</w:t>
      </w:r>
    </w:p>
    <w:p w:rsidR="00CE751F" w:rsidRDefault="00CE751F" w:rsidP="00CE751F">
      <w:pPr>
        <w:tabs>
          <w:tab w:val="left" w:pos="4320"/>
        </w:tabs>
        <w:ind w:left="-360" w:right="-360"/>
      </w:pPr>
      <w:r>
        <w:t>2001 -- $1.3 M</w:t>
      </w:r>
      <w:r>
        <w:tab/>
      </w:r>
      <w:r>
        <w:tab/>
        <w:t>2010 -- $3.5 M</w:t>
      </w:r>
    </w:p>
    <w:p w:rsidR="00CE751F" w:rsidRDefault="00CE751F" w:rsidP="00CE751F">
      <w:pPr>
        <w:tabs>
          <w:tab w:val="left" w:pos="4320"/>
        </w:tabs>
        <w:ind w:left="-360" w:right="-360"/>
      </w:pPr>
      <w:r>
        <w:t>2002 -- $1.7 M</w:t>
      </w:r>
      <w:r>
        <w:tab/>
      </w:r>
      <w:r>
        <w:tab/>
        <w:t>2011 -- $3.2 M</w:t>
      </w:r>
    </w:p>
    <w:p w:rsidR="00CE751F" w:rsidRDefault="00CE751F" w:rsidP="00CE751F">
      <w:pPr>
        <w:tabs>
          <w:tab w:val="left" w:pos="4320"/>
        </w:tabs>
        <w:ind w:left="-360" w:right="-360"/>
      </w:pPr>
      <w:r>
        <w:t>2003 -- $2.3 M</w:t>
      </w:r>
      <w:r>
        <w:tab/>
      </w:r>
      <w:r>
        <w:tab/>
        <w:t>2012 -- $3.4 M</w:t>
      </w:r>
    </w:p>
    <w:p w:rsidR="00CE751F" w:rsidRDefault="00CE751F" w:rsidP="00CE751F">
      <w:pPr>
        <w:tabs>
          <w:tab w:val="left" w:pos="4320"/>
        </w:tabs>
        <w:ind w:left="-360" w:right="-360"/>
      </w:pPr>
      <w:r>
        <w:t>2004 -- $2.3 M</w:t>
      </w:r>
    </w:p>
    <w:p w:rsidR="00CE751F" w:rsidRDefault="00CE751F" w:rsidP="00CE751F">
      <w:pPr>
        <w:tabs>
          <w:tab w:val="left" w:pos="4320"/>
        </w:tabs>
        <w:ind w:left="-360" w:right="-360"/>
      </w:pPr>
      <w:r>
        <w:t>2005 -- $2 M</w:t>
      </w:r>
    </w:p>
    <w:p w:rsidR="00CE751F" w:rsidRDefault="00CE751F" w:rsidP="00CE751F">
      <w:pPr>
        <w:tabs>
          <w:tab w:val="left" w:pos="4320"/>
        </w:tabs>
        <w:ind w:left="-360" w:right="-360"/>
      </w:pPr>
      <w:r>
        <w:t>2006 -- $2.3 M</w:t>
      </w:r>
    </w:p>
    <w:p w:rsidR="00234D22" w:rsidRDefault="00234D22" w:rsidP="009A52E8">
      <w:pPr>
        <w:pBdr>
          <w:bottom w:val="single" w:sz="12" w:space="1" w:color="auto"/>
        </w:pBdr>
        <w:tabs>
          <w:tab w:val="left" w:pos="4320"/>
        </w:tabs>
        <w:ind w:left="-360" w:right="-360"/>
      </w:pPr>
    </w:p>
    <w:p w:rsidR="00234D22" w:rsidRDefault="00234D22" w:rsidP="009A52E8">
      <w:pPr>
        <w:tabs>
          <w:tab w:val="left" w:pos="4320"/>
        </w:tabs>
        <w:ind w:left="-360" w:right="-360"/>
        <w:rPr>
          <w:b/>
        </w:rPr>
      </w:pPr>
    </w:p>
    <w:p w:rsidR="00234D22" w:rsidRPr="00D00418" w:rsidRDefault="00234D22" w:rsidP="00234D22">
      <w:pPr>
        <w:rPr>
          <w:sz w:val="22"/>
          <w:szCs w:val="22"/>
        </w:rPr>
      </w:pPr>
      <w:r w:rsidRPr="00D00418">
        <w:rPr>
          <w:b/>
          <w:bCs/>
          <w:sz w:val="22"/>
          <w:szCs w:val="22"/>
        </w:rPr>
        <w:t>The Consortium for School Networking (CoSN)</w:t>
      </w:r>
      <w:r w:rsidRPr="00D00418">
        <w:rPr>
          <w:sz w:val="22"/>
          <w:szCs w:val="22"/>
        </w:rPr>
        <w:t xml:space="preserve"> is the premier professional association for school system technology leaders. The mission of CoSN is to empower educational leaders to leverage technology to realize engaging learning environments. Visit </w:t>
      </w:r>
      <w:hyperlink r:id="rId7" w:history="1">
        <w:r w:rsidRPr="00D00418">
          <w:rPr>
            <w:rStyle w:val="Hyperlink"/>
            <w:sz w:val="22"/>
            <w:szCs w:val="22"/>
          </w:rPr>
          <w:t>www.cosn.org</w:t>
        </w:r>
      </w:hyperlink>
      <w:r w:rsidRPr="00D00418">
        <w:rPr>
          <w:sz w:val="22"/>
          <w:szCs w:val="22"/>
        </w:rPr>
        <w:t xml:space="preserve"> </w:t>
      </w:r>
    </w:p>
    <w:p w:rsidR="00234D22" w:rsidRPr="00D00418" w:rsidRDefault="00234D22" w:rsidP="00234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DE2345" w:rsidRDefault="00DE2345" w:rsidP="00DE2345">
      <w:pPr>
        <w:autoSpaceDE w:val="0"/>
        <w:autoSpaceDN w:val="0"/>
        <w:rPr>
          <w:sz w:val="22"/>
          <w:szCs w:val="22"/>
        </w:rPr>
      </w:pPr>
      <w:r>
        <w:rPr>
          <w:b/>
          <w:sz w:val="22"/>
          <w:szCs w:val="22"/>
        </w:rPr>
        <w:t>The International Society for Technology in Education (ISTE®)</w:t>
      </w:r>
      <w:r>
        <w:rPr>
          <w:sz w:val="22"/>
          <w:szCs w:val="22"/>
        </w:rPr>
        <w:t xml:space="preserve"> is the premier membership association for educators and education leaders engaged in advancing excellence in learning and teaching through the innovative and effective uses of technology in PK–12 and teacher education. Home to ISTE’s Annual Conference and Exposition and the widely adopted NETS, ISTE represents more than 100,000 professionals worldwide. For more information, please visit </w:t>
      </w:r>
      <w:hyperlink r:id="rId8" w:history="1">
        <w:r>
          <w:rPr>
            <w:rStyle w:val="Hyperlink"/>
            <w:sz w:val="22"/>
            <w:szCs w:val="22"/>
          </w:rPr>
          <w:t>www.iste.org</w:t>
        </w:r>
      </w:hyperlink>
      <w:r>
        <w:rPr>
          <w:sz w:val="22"/>
          <w:szCs w:val="22"/>
        </w:rPr>
        <w:t xml:space="preserve"> </w:t>
      </w:r>
    </w:p>
    <w:p w:rsidR="008F145E" w:rsidRPr="00D00418" w:rsidRDefault="008F145E" w:rsidP="00234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530371" w:rsidRDefault="008F145E" w:rsidP="00530371">
      <w:pPr>
        <w:spacing w:before="30" w:after="225"/>
        <w:ind w:right="165"/>
        <w:rPr>
          <w:sz w:val="22"/>
          <w:szCs w:val="22"/>
          <w:lang w:val="en-GB"/>
        </w:rPr>
      </w:pPr>
      <w:r w:rsidRPr="00D00418">
        <w:rPr>
          <w:b/>
          <w:sz w:val="22"/>
          <w:szCs w:val="22"/>
          <w:lang w:val="en-GB"/>
        </w:rPr>
        <w:t>The Software &amp; Information Industry Association (SIIA)</w:t>
      </w:r>
      <w:r w:rsidRPr="00D00418">
        <w:rPr>
          <w:sz w:val="22"/>
          <w:szCs w:val="22"/>
          <w:lang w:val="en-GB"/>
        </w:rPr>
        <w:t xml:space="preserve"> is the principal trade association for the software and digital content industry. SIIA provides global services in government relations, business development, corporate education, and intellectual property protection to more than 700 leading software and information companies. For more information, visit </w:t>
      </w:r>
      <w:hyperlink r:id="rId9" w:history="1">
        <w:r w:rsidR="00530371" w:rsidRPr="00A90055">
          <w:rPr>
            <w:rStyle w:val="Hyperlink"/>
            <w:sz w:val="22"/>
            <w:szCs w:val="22"/>
            <w:lang w:val="en-GB"/>
          </w:rPr>
          <w:t>www.siia.net/education</w:t>
        </w:r>
      </w:hyperlink>
    </w:p>
    <w:p w:rsidR="00530371" w:rsidRPr="00530371" w:rsidRDefault="00530371" w:rsidP="00530371">
      <w:pPr>
        <w:spacing w:before="30" w:after="225"/>
        <w:ind w:right="165"/>
        <w:rPr>
          <w:sz w:val="22"/>
          <w:szCs w:val="22"/>
          <w:lang w:val="en-GB"/>
        </w:rPr>
      </w:pPr>
      <w:r w:rsidRPr="00530371">
        <w:rPr>
          <w:b/>
          <w:sz w:val="22"/>
          <w:szCs w:val="22"/>
        </w:rPr>
        <w:t>The State Educational Technology Directors Association (SETDA)</w:t>
      </w:r>
      <w:r w:rsidRPr="00530371">
        <w:rPr>
          <w:sz w:val="22"/>
          <w:szCs w:val="22"/>
        </w:rPr>
        <w:t xml:space="preserve">, founded in 2001, is the national non-profit association representing the interests of U.S. state and territorial educational technology leadership. SETDA’s mission is to build and increase the capacity of state and national leaders to improve education through technology policy and practice. For more information, please visit </w:t>
      </w:r>
      <w:r w:rsidR="00A4727D">
        <w:fldChar w:fldCharType="begin"/>
      </w:r>
      <w:r w:rsidR="00A4727D">
        <w:instrText xml:space="preserve"> HYPERLINK "http://www.setda.org" \t "_blank" </w:instrText>
      </w:r>
      <w:r w:rsidR="00A4727D">
        <w:fldChar w:fldCharType="separate"/>
      </w:r>
      <w:r w:rsidRPr="00530371">
        <w:rPr>
          <w:rStyle w:val="Hyperlink"/>
          <w:sz w:val="22"/>
          <w:szCs w:val="22"/>
        </w:rPr>
        <w:t>www.setda.org</w:t>
      </w:r>
      <w:r w:rsidR="00A4727D">
        <w:rPr>
          <w:rStyle w:val="Hyperlink"/>
          <w:sz w:val="22"/>
          <w:szCs w:val="22"/>
        </w:rPr>
        <w:fldChar w:fldCharType="end"/>
      </w:r>
      <w:r w:rsidRPr="00530371">
        <w:rPr>
          <w:sz w:val="22"/>
          <w:szCs w:val="22"/>
        </w:rPr>
        <w:t>.</w:t>
      </w:r>
    </w:p>
    <w:sectPr w:rsidR="00530371" w:rsidRPr="00530371" w:rsidSect="00A43223">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7C" w:rsidRDefault="00AB607C" w:rsidP="00AB607C">
      <w:r>
        <w:separator/>
      </w:r>
    </w:p>
  </w:endnote>
  <w:endnote w:type="continuationSeparator" w:id="0">
    <w:p w:rsidR="00AB607C" w:rsidRDefault="00AB607C" w:rsidP="00AB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7C" w:rsidRDefault="00AB607C" w:rsidP="00AB607C">
      <w:r>
        <w:separator/>
      </w:r>
    </w:p>
  </w:footnote>
  <w:footnote w:type="continuationSeparator" w:id="0">
    <w:p w:rsidR="00AB607C" w:rsidRDefault="00AB607C" w:rsidP="00AB60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23" w:rsidRDefault="00A43223" w:rsidP="00A43223">
    <w:pPr>
      <w:pStyle w:val="Header"/>
    </w:pPr>
    <w:r>
      <w:rPr>
        <w:noProof/>
      </w:rPr>
      <w:drawing>
        <wp:anchor distT="0" distB="0" distL="114300" distR="114300" simplePos="0" relativeHeight="251659264" behindDoc="0" locked="0" layoutInCell="1" allowOverlap="1">
          <wp:simplePos x="0" y="0"/>
          <wp:positionH relativeFrom="column">
            <wp:posOffset>-316230</wp:posOffset>
          </wp:positionH>
          <wp:positionV relativeFrom="paragraph">
            <wp:posOffset>320040</wp:posOffset>
          </wp:positionV>
          <wp:extent cx="1436370" cy="518160"/>
          <wp:effectExtent l="19050" t="0" r="0" b="0"/>
          <wp:wrapSquare wrapText="bothSides"/>
          <wp:docPr id="2" name="Picture 4" descr="Description: Education_SII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ucation_SIIA_Logotype"/>
                  <pic:cNvPicPr>
                    <a:picLocks noChangeAspect="1" noChangeArrowheads="1"/>
                  </pic:cNvPicPr>
                </pic:nvPicPr>
                <pic:blipFill>
                  <a:blip r:embed="rId1" r:link="rId2" cstate="print"/>
                  <a:srcRect/>
                  <a:stretch>
                    <a:fillRect/>
                  </a:stretch>
                </pic:blipFill>
                <pic:spPr bwMode="auto">
                  <a:xfrm>
                    <a:off x="0" y="0"/>
                    <a:ext cx="1436370" cy="518160"/>
                  </a:xfrm>
                  <a:prstGeom prst="rect">
                    <a:avLst/>
                  </a:prstGeom>
                  <a:noFill/>
                  <a:ln w="9525">
                    <a:noFill/>
                    <a:miter lim="800000"/>
                    <a:headEnd/>
                    <a:tailEnd/>
                  </a:ln>
                </pic:spPr>
              </pic:pic>
            </a:graphicData>
          </a:graphic>
        </wp:anchor>
      </w:drawing>
    </w:r>
    <w:r>
      <w:t xml:space="preserve">                                   </w:t>
    </w:r>
    <w:r w:rsidRPr="001B1BCA">
      <w:rPr>
        <w:noProof/>
      </w:rPr>
      <w:drawing>
        <wp:inline distT="0" distB="0" distL="0" distR="0">
          <wp:extent cx="1091293" cy="832757"/>
          <wp:effectExtent l="19050" t="0" r="0" b="0"/>
          <wp:docPr id="4" name="Picture 1" descr="\\DC-SERVER\RedirectedFolders\Whitney\My Documents\My Pictures\C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ERVER\RedirectedFolders\Whitney\My Documents\My Pictures\CoSN.jpg"/>
                  <pic:cNvPicPr>
                    <a:picLocks noChangeAspect="1" noChangeArrowheads="1"/>
                  </pic:cNvPicPr>
                </pic:nvPicPr>
                <pic:blipFill>
                  <a:blip r:embed="rId3"/>
                  <a:srcRect/>
                  <a:stretch>
                    <a:fillRect/>
                  </a:stretch>
                </pic:blipFill>
                <pic:spPr bwMode="auto">
                  <a:xfrm>
                    <a:off x="0" y="0"/>
                    <a:ext cx="1091292" cy="832756"/>
                  </a:xfrm>
                  <a:prstGeom prst="rect">
                    <a:avLst/>
                  </a:prstGeom>
                  <a:noFill/>
                  <a:ln w="9525">
                    <a:noFill/>
                    <a:miter lim="800000"/>
                    <a:headEnd/>
                    <a:tailEnd/>
                  </a:ln>
                </pic:spPr>
              </pic:pic>
            </a:graphicData>
          </a:graphic>
        </wp:inline>
      </w:drawing>
    </w:r>
    <w:r>
      <w:t xml:space="preserve">         </w:t>
    </w:r>
    <w:r w:rsidRPr="00FE1ED1">
      <w:rPr>
        <w:noProof/>
      </w:rPr>
      <w:drawing>
        <wp:inline distT="0" distB="0" distL="0" distR="0">
          <wp:extent cx="1200150" cy="824593"/>
          <wp:effectExtent l="0" t="0" r="0" b="0"/>
          <wp:docPr id="5" name="Picture 1" descr="C:\Users\Whitney\AppData\Local\Microsoft\Windows\Temporary Internet Files\Content.Word\ISTE-R-Full_H-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AppData\Local\Microsoft\Windows\Temporary Internet Files\Content.Word\ISTE-R-Full_H-4c.eps"/>
                  <pic:cNvPicPr>
                    <a:picLocks noChangeAspect="1" noChangeArrowheads="1"/>
                  </pic:cNvPicPr>
                </pic:nvPicPr>
                <pic:blipFill>
                  <a:blip r:embed="rId4" cstate="print"/>
                  <a:srcRect/>
                  <a:stretch>
                    <a:fillRect/>
                  </a:stretch>
                </pic:blipFill>
                <pic:spPr bwMode="auto">
                  <a:xfrm>
                    <a:off x="0" y="0"/>
                    <a:ext cx="1213644" cy="833864"/>
                  </a:xfrm>
                  <a:prstGeom prst="rect">
                    <a:avLst/>
                  </a:prstGeom>
                  <a:noFill/>
                  <a:ln w="9525">
                    <a:noFill/>
                    <a:miter lim="800000"/>
                    <a:headEnd/>
                    <a:tailEnd/>
                  </a:ln>
                </pic:spPr>
              </pic:pic>
            </a:graphicData>
          </a:graphic>
        </wp:inline>
      </w:drawing>
    </w:r>
    <w:r>
      <w:t xml:space="preserve">              </w:t>
    </w:r>
    <w:r w:rsidRPr="001B1BCA">
      <w:rPr>
        <w:noProof/>
      </w:rPr>
      <w:drawing>
        <wp:inline distT="0" distB="0" distL="0" distR="0">
          <wp:extent cx="1385208" cy="938893"/>
          <wp:effectExtent l="19050" t="0" r="5442" b="0"/>
          <wp:docPr id="6" name="Picture 2" descr="SETDA - State Educational Technology Directors Associ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A - State Educational Technology Directors Association">
                    <a:hlinkClick r:id="rId5"/>
                  </pic:cNvPr>
                  <pic:cNvPicPr>
                    <a:picLocks noChangeAspect="1" noChangeArrowheads="1"/>
                  </pic:cNvPicPr>
                </pic:nvPicPr>
                <pic:blipFill>
                  <a:blip r:embed="rId6"/>
                  <a:srcRect/>
                  <a:stretch>
                    <a:fillRect/>
                  </a:stretch>
                </pic:blipFill>
                <pic:spPr bwMode="auto">
                  <a:xfrm>
                    <a:off x="0" y="0"/>
                    <a:ext cx="1385208" cy="938893"/>
                  </a:xfrm>
                  <a:prstGeom prst="rect">
                    <a:avLst/>
                  </a:prstGeom>
                  <a:noFill/>
                  <a:ln w="9525">
                    <a:noFill/>
                    <a:miter lim="800000"/>
                    <a:headEnd/>
                    <a:tailEnd/>
                  </a:ln>
                </pic:spPr>
              </pic:pic>
            </a:graphicData>
          </a:graphic>
        </wp:inline>
      </w:drawing>
    </w:r>
    <w:r>
      <w:t xml:space="preserve">      </w:t>
    </w:r>
  </w:p>
  <w:p w:rsidR="00A43223" w:rsidRDefault="00A43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A9"/>
    <w:rsid w:val="00045D43"/>
    <w:rsid w:val="0011372E"/>
    <w:rsid w:val="00167482"/>
    <w:rsid w:val="00180485"/>
    <w:rsid w:val="001A1F04"/>
    <w:rsid w:val="001A332B"/>
    <w:rsid w:val="00234D22"/>
    <w:rsid w:val="0026039F"/>
    <w:rsid w:val="002B7CAF"/>
    <w:rsid w:val="002C00A6"/>
    <w:rsid w:val="002E66DE"/>
    <w:rsid w:val="003256FF"/>
    <w:rsid w:val="003A2EFA"/>
    <w:rsid w:val="003F035E"/>
    <w:rsid w:val="004249D7"/>
    <w:rsid w:val="005144A9"/>
    <w:rsid w:val="00530371"/>
    <w:rsid w:val="00610787"/>
    <w:rsid w:val="006969C7"/>
    <w:rsid w:val="007C420C"/>
    <w:rsid w:val="007D1E02"/>
    <w:rsid w:val="007D3AC0"/>
    <w:rsid w:val="008E0457"/>
    <w:rsid w:val="008F145E"/>
    <w:rsid w:val="009A52E8"/>
    <w:rsid w:val="009F6497"/>
    <w:rsid w:val="00A12C06"/>
    <w:rsid w:val="00A43223"/>
    <w:rsid w:val="00A4727D"/>
    <w:rsid w:val="00AB607C"/>
    <w:rsid w:val="00AD56BF"/>
    <w:rsid w:val="00B27F2E"/>
    <w:rsid w:val="00B40FB5"/>
    <w:rsid w:val="00BE26CC"/>
    <w:rsid w:val="00C06A28"/>
    <w:rsid w:val="00C52386"/>
    <w:rsid w:val="00C84131"/>
    <w:rsid w:val="00CD5844"/>
    <w:rsid w:val="00CE751F"/>
    <w:rsid w:val="00D00418"/>
    <w:rsid w:val="00D0498B"/>
    <w:rsid w:val="00D622BB"/>
    <w:rsid w:val="00D75E53"/>
    <w:rsid w:val="00DE2345"/>
    <w:rsid w:val="00DE5BD6"/>
    <w:rsid w:val="00E3272A"/>
    <w:rsid w:val="00E43DBF"/>
    <w:rsid w:val="00ED161D"/>
    <w:rsid w:val="00F22139"/>
    <w:rsid w:val="00FA37BB"/>
    <w:rsid w:val="00FA5B6F"/>
    <w:rsid w:val="00FC0EFF"/>
    <w:rsid w:val="00FD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D22"/>
    <w:rPr>
      <w:color w:val="0000FF"/>
      <w:u w:val="single"/>
    </w:rPr>
  </w:style>
  <w:style w:type="paragraph" w:styleId="PlainText">
    <w:name w:val="Plain Text"/>
    <w:basedOn w:val="Normal"/>
    <w:link w:val="PlainTextChar"/>
    <w:uiPriority w:val="99"/>
    <w:unhideWhenUsed/>
    <w:rsid w:val="00234D22"/>
    <w:rPr>
      <w:rFonts w:ascii="Consolas" w:eastAsia="Calibri" w:hAnsi="Consolas"/>
      <w:sz w:val="21"/>
      <w:szCs w:val="21"/>
    </w:rPr>
  </w:style>
  <w:style w:type="character" w:customStyle="1" w:styleId="PlainTextChar">
    <w:name w:val="Plain Text Char"/>
    <w:basedOn w:val="DefaultParagraphFont"/>
    <w:link w:val="PlainText"/>
    <w:uiPriority w:val="99"/>
    <w:rsid w:val="00234D22"/>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2B7CAF"/>
    <w:rPr>
      <w:sz w:val="16"/>
      <w:szCs w:val="16"/>
    </w:rPr>
  </w:style>
  <w:style w:type="paragraph" w:styleId="CommentText">
    <w:name w:val="annotation text"/>
    <w:basedOn w:val="Normal"/>
    <w:link w:val="CommentTextChar"/>
    <w:uiPriority w:val="99"/>
    <w:semiHidden/>
    <w:unhideWhenUsed/>
    <w:rsid w:val="002B7CAF"/>
    <w:rPr>
      <w:sz w:val="20"/>
      <w:szCs w:val="20"/>
    </w:rPr>
  </w:style>
  <w:style w:type="character" w:customStyle="1" w:styleId="CommentTextChar">
    <w:name w:val="Comment Text Char"/>
    <w:basedOn w:val="DefaultParagraphFont"/>
    <w:link w:val="CommentText"/>
    <w:uiPriority w:val="99"/>
    <w:semiHidden/>
    <w:rsid w:val="002B7C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CAF"/>
    <w:rPr>
      <w:b/>
      <w:bCs/>
    </w:rPr>
  </w:style>
  <w:style w:type="character" w:customStyle="1" w:styleId="CommentSubjectChar">
    <w:name w:val="Comment Subject Char"/>
    <w:basedOn w:val="CommentTextChar"/>
    <w:link w:val="CommentSubject"/>
    <w:uiPriority w:val="99"/>
    <w:semiHidden/>
    <w:rsid w:val="002B7C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7CAF"/>
    <w:rPr>
      <w:rFonts w:ascii="Tahoma" w:hAnsi="Tahoma" w:cs="Tahoma"/>
      <w:sz w:val="16"/>
      <w:szCs w:val="16"/>
    </w:rPr>
  </w:style>
  <w:style w:type="character" w:customStyle="1" w:styleId="BalloonTextChar">
    <w:name w:val="Balloon Text Char"/>
    <w:basedOn w:val="DefaultParagraphFont"/>
    <w:link w:val="BalloonText"/>
    <w:uiPriority w:val="99"/>
    <w:semiHidden/>
    <w:rsid w:val="002B7CAF"/>
    <w:rPr>
      <w:rFonts w:ascii="Tahoma" w:eastAsia="Times New Roman" w:hAnsi="Tahoma" w:cs="Tahoma"/>
      <w:sz w:val="16"/>
      <w:szCs w:val="16"/>
    </w:rPr>
  </w:style>
  <w:style w:type="paragraph" w:styleId="Header">
    <w:name w:val="header"/>
    <w:basedOn w:val="Normal"/>
    <w:link w:val="HeaderChar"/>
    <w:uiPriority w:val="99"/>
    <w:unhideWhenUsed/>
    <w:rsid w:val="00AB607C"/>
    <w:pPr>
      <w:tabs>
        <w:tab w:val="center" w:pos="4680"/>
        <w:tab w:val="right" w:pos="9360"/>
      </w:tabs>
    </w:pPr>
  </w:style>
  <w:style w:type="character" w:customStyle="1" w:styleId="HeaderChar">
    <w:name w:val="Header Char"/>
    <w:basedOn w:val="DefaultParagraphFont"/>
    <w:link w:val="Header"/>
    <w:uiPriority w:val="99"/>
    <w:rsid w:val="00AB60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B607C"/>
    <w:pPr>
      <w:tabs>
        <w:tab w:val="center" w:pos="4680"/>
        <w:tab w:val="right" w:pos="9360"/>
      </w:tabs>
    </w:pPr>
  </w:style>
  <w:style w:type="character" w:customStyle="1" w:styleId="FooterChar">
    <w:name w:val="Footer Char"/>
    <w:basedOn w:val="DefaultParagraphFont"/>
    <w:link w:val="Footer"/>
    <w:uiPriority w:val="99"/>
    <w:semiHidden/>
    <w:rsid w:val="00AB60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D22"/>
    <w:rPr>
      <w:color w:val="0000FF"/>
      <w:u w:val="single"/>
    </w:rPr>
  </w:style>
  <w:style w:type="paragraph" w:styleId="PlainText">
    <w:name w:val="Plain Text"/>
    <w:basedOn w:val="Normal"/>
    <w:link w:val="PlainTextChar"/>
    <w:uiPriority w:val="99"/>
    <w:unhideWhenUsed/>
    <w:rsid w:val="00234D22"/>
    <w:rPr>
      <w:rFonts w:ascii="Consolas" w:eastAsia="Calibri" w:hAnsi="Consolas"/>
      <w:sz w:val="21"/>
      <w:szCs w:val="21"/>
    </w:rPr>
  </w:style>
  <w:style w:type="character" w:customStyle="1" w:styleId="PlainTextChar">
    <w:name w:val="Plain Text Char"/>
    <w:basedOn w:val="DefaultParagraphFont"/>
    <w:link w:val="PlainText"/>
    <w:uiPriority w:val="99"/>
    <w:rsid w:val="00234D22"/>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2B7CAF"/>
    <w:rPr>
      <w:sz w:val="16"/>
      <w:szCs w:val="16"/>
    </w:rPr>
  </w:style>
  <w:style w:type="paragraph" w:styleId="CommentText">
    <w:name w:val="annotation text"/>
    <w:basedOn w:val="Normal"/>
    <w:link w:val="CommentTextChar"/>
    <w:uiPriority w:val="99"/>
    <w:semiHidden/>
    <w:unhideWhenUsed/>
    <w:rsid w:val="002B7CAF"/>
    <w:rPr>
      <w:sz w:val="20"/>
      <w:szCs w:val="20"/>
    </w:rPr>
  </w:style>
  <w:style w:type="character" w:customStyle="1" w:styleId="CommentTextChar">
    <w:name w:val="Comment Text Char"/>
    <w:basedOn w:val="DefaultParagraphFont"/>
    <w:link w:val="CommentText"/>
    <w:uiPriority w:val="99"/>
    <w:semiHidden/>
    <w:rsid w:val="002B7C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CAF"/>
    <w:rPr>
      <w:b/>
      <w:bCs/>
    </w:rPr>
  </w:style>
  <w:style w:type="character" w:customStyle="1" w:styleId="CommentSubjectChar">
    <w:name w:val="Comment Subject Char"/>
    <w:basedOn w:val="CommentTextChar"/>
    <w:link w:val="CommentSubject"/>
    <w:uiPriority w:val="99"/>
    <w:semiHidden/>
    <w:rsid w:val="002B7C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7CAF"/>
    <w:rPr>
      <w:rFonts w:ascii="Tahoma" w:hAnsi="Tahoma" w:cs="Tahoma"/>
      <w:sz w:val="16"/>
      <w:szCs w:val="16"/>
    </w:rPr>
  </w:style>
  <w:style w:type="character" w:customStyle="1" w:styleId="BalloonTextChar">
    <w:name w:val="Balloon Text Char"/>
    <w:basedOn w:val="DefaultParagraphFont"/>
    <w:link w:val="BalloonText"/>
    <w:uiPriority w:val="99"/>
    <w:semiHidden/>
    <w:rsid w:val="002B7CAF"/>
    <w:rPr>
      <w:rFonts w:ascii="Tahoma" w:eastAsia="Times New Roman" w:hAnsi="Tahoma" w:cs="Tahoma"/>
      <w:sz w:val="16"/>
      <w:szCs w:val="16"/>
    </w:rPr>
  </w:style>
  <w:style w:type="paragraph" w:styleId="Header">
    <w:name w:val="header"/>
    <w:basedOn w:val="Normal"/>
    <w:link w:val="HeaderChar"/>
    <w:uiPriority w:val="99"/>
    <w:unhideWhenUsed/>
    <w:rsid w:val="00AB607C"/>
    <w:pPr>
      <w:tabs>
        <w:tab w:val="center" w:pos="4680"/>
        <w:tab w:val="right" w:pos="9360"/>
      </w:tabs>
    </w:pPr>
  </w:style>
  <w:style w:type="character" w:customStyle="1" w:styleId="HeaderChar">
    <w:name w:val="Header Char"/>
    <w:basedOn w:val="DefaultParagraphFont"/>
    <w:link w:val="Header"/>
    <w:uiPriority w:val="99"/>
    <w:rsid w:val="00AB60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B607C"/>
    <w:pPr>
      <w:tabs>
        <w:tab w:val="center" w:pos="4680"/>
        <w:tab w:val="right" w:pos="9360"/>
      </w:tabs>
    </w:pPr>
  </w:style>
  <w:style w:type="character" w:customStyle="1" w:styleId="FooterChar">
    <w:name w:val="Footer Char"/>
    <w:basedOn w:val="DefaultParagraphFont"/>
    <w:link w:val="Footer"/>
    <w:uiPriority w:val="99"/>
    <w:semiHidden/>
    <w:rsid w:val="00AB60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5245">
      <w:bodyDiv w:val="1"/>
      <w:marLeft w:val="0"/>
      <w:marRight w:val="0"/>
      <w:marTop w:val="0"/>
      <w:marBottom w:val="0"/>
      <w:divBdr>
        <w:top w:val="none" w:sz="0" w:space="0" w:color="auto"/>
        <w:left w:val="none" w:sz="0" w:space="0" w:color="auto"/>
        <w:bottom w:val="none" w:sz="0" w:space="0" w:color="auto"/>
        <w:right w:val="none" w:sz="0" w:space="0" w:color="auto"/>
      </w:divBdr>
    </w:div>
    <w:div w:id="857894119">
      <w:bodyDiv w:val="1"/>
      <w:marLeft w:val="0"/>
      <w:marRight w:val="0"/>
      <w:marTop w:val="0"/>
      <w:marBottom w:val="0"/>
      <w:divBdr>
        <w:top w:val="none" w:sz="0" w:space="0" w:color="auto"/>
        <w:left w:val="none" w:sz="0" w:space="0" w:color="auto"/>
        <w:bottom w:val="none" w:sz="0" w:space="0" w:color="auto"/>
        <w:right w:val="none" w:sz="0" w:space="0" w:color="auto"/>
      </w:divBdr>
    </w:div>
    <w:div w:id="1813474447">
      <w:bodyDiv w:val="1"/>
      <w:marLeft w:val="0"/>
      <w:marRight w:val="0"/>
      <w:marTop w:val="0"/>
      <w:marBottom w:val="0"/>
      <w:divBdr>
        <w:top w:val="none" w:sz="0" w:space="0" w:color="auto"/>
        <w:left w:val="none" w:sz="0" w:space="0" w:color="auto"/>
        <w:bottom w:val="none" w:sz="0" w:space="0" w:color="auto"/>
        <w:right w:val="none" w:sz="0" w:space="0" w:color="auto"/>
      </w:divBdr>
    </w:div>
    <w:div w:id="20902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sn.org" TargetMode="External"/><Relationship Id="rId8" Type="http://schemas.openxmlformats.org/officeDocument/2006/relationships/hyperlink" Target="http://www.iste.org" TargetMode="External"/><Relationship Id="rId9" Type="http://schemas.openxmlformats.org/officeDocument/2006/relationships/hyperlink" Target="http://www.siia.net/educa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hyperlink" Target="http://www.setda.org/web/guest/home" TargetMode="External"/><Relationship Id="rId6" Type="http://schemas.openxmlformats.org/officeDocument/2006/relationships/image" Target="media/image4.gif"/><Relationship Id="rId1" Type="http://schemas.openxmlformats.org/officeDocument/2006/relationships/image" Target="media/image1.jpeg"/><Relationship Id="rId2" Type="http://schemas.openxmlformats.org/officeDocument/2006/relationships/image" Target="cid:image001.jpg@01CE3156.96D96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Bernstein</dc:creator>
  <cp:lastModifiedBy>Kathleen McClaskey</cp:lastModifiedBy>
  <cp:revision>2</cp:revision>
  <cp:lastPrinted>2013-04-08T22:28:00Z</cp:lastPrinted>
  <dcterms:created xsi:type="dcterms:W3CDTF">2013-04-08T22:31:00Z</dcterms:created>
  <dcterms:modified xsi:type="dcterms:W3CDTF">2013-04-08T22:31:00Z</dcterms:modified>
</cp:coreProperties>
</file>